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贵阳幼儿师范高等专科学校中心机房迁移服务</w:t>
      </w:r>
      <w:r>
        <w:rPr>
          <w:rFonts w:hint="eastAsia" w:ascii="方正公文小标宋" w:hAnsi="方正公文小标宋" w:eastAsia="方正公文小标宋" w:cs="方正公文小标宋"/>
          <w:sz w:val="44"/>
          <w:szCs w:val="44"/>
          <w:lang w:eastAsia="zh-CN"/>
        </w:rPr>
        <w:t>项目</w:t>
      </w:r>
      <w:r>
        <w:rPr>
          <w:rFonts w:hint="eastAsia" w:ascii="方正公文小标宋" w:hAnsi="方正公文小标宋" w:eastAsia="方正公文小标宋" w:cs="方正公文小标宋"/>
          <w:sz w:val="44"/>
          <w:szCs w:val="44"/>
        </w:rPr>
        <w:t>采</w:t>
      </w:r>
      <w:r>
        <w:rPr>
          <w:rFonts w:hint="eastAsia" w:ascii="方正公文小标宋" w:hAnsi="方正公文小标宋" w:eastAsia="方正公文小标宋" w:cs="方正公文小标宋"/>
          <w:sz w:val="44"/>
          <w:szCs w:val="44"/>
          <w:highlight w:val="none"/>
        </w:rPr>
        <w:t>购</w:t>
      </w:r>
      <w:r>
        <w:rPr>
          <w:rFonts w:hint="eastAsia" w:ascii="方正公文小标宋" w:hAnsi="方正公文小标宋" w:eastAsia="方正公文小标宋" w:cs="方正公文小标宋"/>
          <w:sz w:val="44"/>
          <w:szCs w:val="44"/>
          <w:highlight w:val="none"/>
          <w:lang w:val="en-US" w:eastAsia="zh-CN"/>
        </w:rPr>
        <w:t>比选</w:t>
      </w:r>
      <w:r>
        <w:rPr>
          <w:rFonts w:hint="eastAsia" w:ascii="方正公文小标宋" w:hAnsi="方正公文小标宋" w:eastAsia="方正公文小标宋" w:cs="方正公文小标宋"/>
          <w:sz w:val="44"/>
          <w:szCs w:val="44"/>
          <w:highlight w:val="none"/>
        </w:rPr>
        <w:t>公告</w:t>
      </w: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一、项目简介</w:t>
      </w:r>
    </w:p>
    <w:p>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（一）项目名称：贵阳幼儿师范高等专科学校中心机房迁移服务项目采购</w:t>
      </w:r>
    </w:p>
    <w:p>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（二）项目预算：</w:t>
      </w:r>
      <w:r>
        <w:rPr>
          <w:rFonts w:hint="eastAsia" w:ascii="方正仿宋_GB2312" w:hAnsi="方正仿宋_GB2312" w:eastAsia="方正仿宋_GB2312" w:cs="方正仿宋_GB2312"/>
          <w:sz w:val="32"/>
          <w:szCs w:val="32"/>
          <w:lang w:val="en-US" w:eastAsia="zh-CN"/>
        </w:rPr>
        <w:t>95196</w:t>
      </w:r>
      <w:r>
        <w:rPr>
          <w:rFonts w:hint="eastAsia" w:ascii="方正仿宋_GB2312" w:hAnsi="方正仿宋_GB2312" w:eastAsia="方正仿宋_GB2312" w:cs="方正仿宋_GB2312"/>
          <w:sz w:val="32"/>
          <w:szCs w:val="32"/>
        </w:rPr>
        <w:t>元</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项目概况：校信息与网络中心机房位于尚学楼5层406房间（顶层），建筑面积125.18平方米，平均层高超6米，安放20余台服务器（自建及处室托管）、10余台汇聚和核心交换机、安全和边界设备10余台，家用空调4台，现有UPS和空调能勉强负载，余量不多。</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2024年1月完成机房改造及等保测评项目采购，因施工会严重影响学校正常网络业务开展，同时随着下一步智慧校园建设、各业务处室需求和新应用增加，现有机房将存在楼层荷载安全隐患，结合规范及项目施工周期综合因素考虑，将尚学楼原机房垂直一层空间封闭，作为学校中心机房。</w:t>
      </w:r>
    </w:p>
    <w:p>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因机房位置发生变化，设备及内部连接线路需要进行梳理、搬迁及上柜布置。</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二、采购要求</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1.采购内容：</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按照以下标准完成迁移：</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《电子计算机机房设计规范》(GB50174-2017)</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《计算机机房场地通用规范》(GB2887-2000)</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《电子计算机机房施工及验收规范》(SJ/T3003-93)</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《低压配电设计规范》(GB50054-95)</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《供配电系统设计规范》(GB50052-95)</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《不间断电源设备》</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《电力系统谐波管理暂行规定》</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《不间断电源技术性能标定方法和试验要求》</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《工业企业照明设计标准》</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具体任务要求如下表：</w:t>
      </w:r>
    </w:p>
    <w:tbl>
      <w:tblPr>
        <w:tblStyle w:val="2"/>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2952"/>
        <w:gridCol w:w="1345"/>
        <w:gridCol w:w="1263"/>
        <w:gridCol w:w="2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机房迁移服务项目任务清单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F0F0F"/>
                <w:sz w:val="24"/>
                <w:szCs w:val="24"/>
                <w:u w:val="none"/>
              </w:rPr>
            </w:pPr>
            <w:r>
              <w:rPr>
                <w:rFonts w:hint="eastAsia" w:ascii="楷体" w:hAnsi="楷体" w:eastAsia="楷体" w:cs="楷体"/>
                <w:b/>
                <w:bCs/>
                <w:i w:val="0"/>
                <w:iCs w:val="0"/>
                <w:color w:val="0F0F0F"/>
                <w:kern w:val="0"/>
                <w:sz w:val="24"/>
                <w:szCs w:val="24"/>
                <w:u w:val="none"/>
                <w:lang w:val="en-US" w:eastAsia="zh-CN" w:bidi="ar"/>
              </w:rPr>
              <w:t>设备名称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F0F0F"/>
                <w:sz w:val="24"/>
                <w:szCs w:val="24"/>
                <w:u w:val="none"/>
              </w:rPr>
            </w:pPr>
            <w:r>
              <w:rPr>
                <w:rStyle w:val="5"/>
                <w:rFonts w:hint="eastAsia" w:ascii="楷体" w:hAnsi="楷体" w:eastAsia="楷体" w:cs="楷体"/>
                <w:sz w:val="24"/>
                <w:szCs w:val="24"/>
                <w:lang w:val="en-US" w:eastAsia="zh-CN" w:bidi="ar"/>
              </w:rPr>
              <w:t>数</w:t>
            </w:r>
            <w:r>
              <w:rPr>
                <w:rStyle w:val="6"/>
                <w:rFonts w:hint="eastAsia" w:ascii="楷体" w:hAnsi="楷体" w:eastAsia="楷体" w:cs="楷体"/>
                <w:sz w:val="24"/>
                <w:szCs w:val="24"/>
                <w:lang w:val="en-US" w:eastAsia="zh-CN" w:bidi="ar"/>
              </w:rPr>
              <w:t>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F0F0F"/>
                <w:sz w:val="24"/>
                <w:szCs w:val="24"/>
                <w:u w:val="none"/>
              </w:rPr>
            </w:pPr>
            <w:r>
              <w:rPr>
                <w:rFonts w:hint="eastAsia" w:ascii="楷体" w:hAnsi="楷体" w:eastAsia="楷体" w:cs="楷体"/>
                <w:b/>
                <w:bCs/>
                <w:i w:val="0"/>
                <w:iCs w:val="0"/>
                <w:color w:val="0F0F0F"/>
                <w:kern w:val="0"/>
                <w:sz w:val="24"/>
                <w:szCs w:val="24"/>
                <w:u w:val="none"/>
                <w:lang w:val="en-US" w:eastAsia="zh-CN" w:bidi="ar"/>
              </w:rPr>
              <w:t>单位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F0F0F"/>
                <w:sz w:val="24"/>
                <w:szCs w:val="24"/>
                <w:u w:val="none"/>
              </w:rPr>
            </w:pPr>
            <w:r>
              <w:rPr>
                <w:rFonts w:hint="eastAsia" w:ascii="楷体" w:hAnsi="楷体" w:eastAsia="楷体" w:cs="楷体"/>
                <w:b/>
                <w:bCs/>
                <w:i w:val="0"/>
                <w:iCs w:val="0"/>
                <w:color w:val="0F0F0F"/>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282828"/>
                <w:sz w:val="24"/>
                <w:szCs w:val="24"/>
                <w:u w:val="none"/>
              </w:rPr>
            </w:pPr>
            <w:r>
              <w:rPr>
                <w:rFonts w:hint="eastAsia" w:ascii="楷体" w:hAnsi="楷体" w:eastAsia="楷体" w:cs="楷体"/>
                <w:i w:val="0"/>
                <w:iCs w:val="0"/>
                <w:color w:val="282828"/>
                <w:kern w:val="0"/>
                <w:sz w:val="24"/>
                <w:szCs w:val="24"/>
                <w:u w:val="none"/>
                <w:lang w:val="en-US" w:eastAsia="zh-CN" w:bidi="ar"/>
              </w:rPr>
              <w:t>设备（光路）资料资源摸查清理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芯</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282828"/>
                <w:sz w:val="24"/>
                <w:szCs w:val="24"/>
                <w:u w:val="none"/>
              </w:rPr>
            </w:pPr>
            <w:r>
              <w:rPr>
                <w:rFonts w:hint="eastAsia" w:ascii="楷体" w:hAnsi="楷体" w:eastAsia="楷体" w:cs="楷体"/>
                <w:i w:val="0"/>
                <w:iCs w:val="0"/>
                <w:color w:val="282828"/>
                <w:kern w:val="0"/>
                <w:sz w:val="24"/>
                <w:szCs w:val="24"/>
                <w:u w:val="none"/>
                <w:lang w:val="en-US" w:eastAsia="zh-CN" w:bidi="ar"/>
              </w:rPr>
              <w:t>收集录入机房纤芯跳线资料，摸查核对纤芯跳线路由对应关系，资料核查清理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282828"/>
                <w:sz w:val="24"/>
                <w:szCs w:val="24"/>
                <w:u w:val="none"/>
              </w:rPr>
            </w:pPr>
            <w:r>
              <w:rPr>
                <w:rFonts w:hint="eastAsia" w:ascii="楷体" w:hAnsi="楷体" w:eastAsia="楷体" w:cs="楷体"/>
                <w:i w:val="0"/>
                <w:iCs w:val="0"/>
                <w:color w:val="282828"/>
                <w:kern w:val="0"/>
                <w:sz w:val="24"/>
                <w:szCs w:val="24"/>
                <w:u w:val="none"/>
                <w:lang w:val="en-US" w:eastAsia="zh-CN" w:bidi="ar"/>
              </w:rPr>
              <w:t>设备（电路）资料资源摸查清理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282828"/>
                <w:sz w:val="24"/>
                <w:szCs w:val="24"/>
                <w:u w:val="none"/>
              </w:rPr>
            </w:pPr>
            <w:r>
              <w:rPr>
                <w:rFonts w:hint="eastAsia" w:ascii="楷体" w:hAnsi="楷体" w:eastAsia="楷体" w:cs="楷体"/>
                <w:i w:val="0"/>
                <w:iCs w:val="0"/>
                <w:color w:val="282828"/>
                <w:kern w:val="0"/>
                <w:sz w:val="24"/>
                <w:szCs w:val="24"/>
                <w:u w:val="none"/>
                <w:lang w:val="en-US" w:eastAsia="zh-CN" w:bidi="ar"/>
              </w:rPr>
              <w:t>收集录入机房数据线缆、信号线缆资料，摸查核对数据线缆、信号线缆路由对应关系，资料核查清理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282828"/>
                <w:sz w:val="24"/>
                <w:szCs w:val="24"/>
                <w:u w:val="none"/>
              </w:rPr>
            </w:pPr>
            <w:r>
              <w:rPr>
                <w:rFonts w:hint="eastAsia" w:ascii="楷体" w:hAnsi="楷体" w:eastAsia="楷体" w:cs="楷体"/>
                <w:i w:val="0"/>
                <w:iCs w:val="0"/>
                <w:color w:val="282828"/>
                <w:kern w:val="0"/>
                <w:sz w:val="24"/>
                <w:szCs w:val="24"/>
                <w:u w:val="none"/>
                <w:lang w:val="en-US" w:eastAsia="zh-CN" w:bidi="ar"/>
              </w:rPr>
              <w:t>光缆资源端口、路由摸查清理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芯</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282828"/>
                <w:sz w:val="24"/>
                <w:szCs w:val="24"/>
                <w:u w:val="none"/>
              </w:rPr>
            </w:pPr>
            <w:r>
              <w:rPr>
                <w:rFonts w:hint="eastAsia" w:ascii="楷体" w:hAnsi="楷体" w:eastAsia="楷体" w:cs="楷体"/>
                <w:i w:val="0"/>
                <w:iCs w:val="0"/>
                <w:color w:val="282828"/>
                <w:kern w:val="0"/>
                <w:sz w:val="24"/>
                <w:szCs w:val="24"/>
                <w:u w:val="none"/>
                <w:lang w:val="en-US" w:eastAsia="zh-CN" w:bidi="ar"/>
              </w:rPr>
              <w:t>收集录入机房光缆至机房外光缆交接箱，摸查核对光缆敷设路由及机房内外对应端口，资料核查清理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设备机架间（尾纤）敷设布放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设备机架之间放绑软光纤、尾纤光衰测试、设备成端、标签标识打印及粘贴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设备机架间（数据线缆、信号线缆）敷设布放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设备机架之间放绑数据线缆、制作成端、信号线缆及测试，设备成端、标签标识打印及粘贴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光缆拆除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米</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光缆成端拆除、光缆拆除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光缆敷设布放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米</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新路由敷设绑扎、中继段光缆测试、光缆标识牌打印安装吊挂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机柜设备拆除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台</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机柜内设备数据线缆、尾纤跳线拆除、电源线缆拆除、设备搬运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机柜设备安装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台</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机柜设备安装、电源线缆电气连接、设备接地线缆连接、数据线缆、信号线缆、尾纤跳线成端、机架机箱设备标签标识粘贴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7"/>
                <w:rFonts w:hint="eastAsia" w:ascii="楷体" w:hAnsi="楷体" w:eastAsia="楷体" w:cs="楷体"/>
                <w:sz w:val="24"/>
                <w:szCs w:val="24"/>
                <w:lang w:val="en-US" w:eastAsia="zh-CN" w:bidi="ar"/>
              </w:rPr>
              <w:t>光纤分配架（OD</w:t>
            </w:r>
            <w:r>
              <w:rPr>
                <w:rStyle w:val="8"/>
                <w:rFonts w:hint="eastAsia" w:ascii="楷体" w:hAnsi="楷体" w:eastAsia="楷体" w:cs="楷体"/>
                <w:sz w:val="24"/>
                <w:szCs w:val="24"/>
                <w:lang w:val="en-US" w:eastAsia="zh-CN" w:bidi="ar"/>
              </w:rPr>
              <w:t>F</w:t>
            </w:r>
            <w:r>
              <w:rPr>
                <w:rStyle w:val="7"/>
                <w:rFonts w:hint="eastAsia" w:ascii="楷体" w:hAnsi="楷体" w:eastAsia="楷体" w:cs="楷体"/>
                <w:sz w:val="24"/>
                <w:szCs w:val="24"/>
                <w:lang w:val="en-US" w:eastAsia="zh-CN" w:bidi="ar"/>
              </w:rPr>
              <w:t>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台</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282828"/>
                <w:sz w:val="24"/>
                <w:szCs w:val="24"/>
                <w:u w:val="none"/>
              </w:rPr>
            </w:pPr>
            <w:r>
              <w:rPr>
                <w:rFonts w:hint="eastAsia" w:ascii="楷体" w:hAnsi="楷体" w:eastAsia="楷体" w:cs="楷体"/>
                <w:i w:val="0"/>
                <w:iCs w:val="0"/>
                <w:color w:val="282828"/>
                <w:kern w:val="0"/>
                <w:sz w:val="24"/>
                <w:szCs w:val="24"/>
                <w:u w:val="none"/>
                <w:lang w:val="en-US" w:eastAsia="zh-CN" w:bidi="ar"/>
              </w:rPr>
              <w:t>含不少于36套一体化托盘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282828"/>
                <w:sz w:val="24"/>
                <w:szCs w:val="24"/>
                <w:u w:val="none"/>
              </w:rPr>
            </w:pPr>
            <w:r>
              <w:rPr>
                <w:rFonts w:hint="eastAsia" w:ascii="楷体" w:hAnsi="楷体" w:eastAsia="楷体" w:cs="楷体"/>
                <w:i w:val="0"/>
                <w:iCs w:val="0"/>
                <w:color w:val="282828"/>
                <w:kern w:val="0"/>
                <w:sz w:val="24"/>
                <w:szCs w:val="24"/>
                <w:u w:val="none"/>
                <w:lang w:val="en-US" w:eastAsia="zh-CN" w:bidi="ar"/>
              </w:rPr>
              <w:t>光纤直熔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282828"/>
                <w:sz w:val="24"/>
                <w:szCs w:val="24"/>
                <w:u w:val="none"/>
              </w:rPr>
            </w:pPr>
            <w:r>
              <w:rPr>
                <w:rFonts w:hint="eastAsia" w:ascii="楷体" w:hAnsi="楷体" w:eastAsia="楷体" w:cs="楷体"/>
                <w:i w:val="0"/>
                <w:iCs w:val="0"/>
                <w:color w:val="282828"/>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芯</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282828"/>
                <w:sz w:val="24"/>
                <w:szCs w:val="24"/>
                <w:u w:val="none"/>
              </w:rPr>
            </w:pPr>
            <w:r>
              <w:rPr>
                <w:rFonts w:hint="eastAsia" w:ascii="楷体" w:hAnsi="楷体" w:eastAsia="楷体" w:cs="楷体"/>
                <w:i w:val="0"/>
                <w:iCs w:val="0"/>
                <w:color w:val="282828"/>
                <w:kern w:val="0"/>
                <w:sz w:val="24"/>
                <w:szCs w:val="24"/>
                <w:u w:val="none"/>
                <w:lang w:val="en-US" w:eastAsia="zh-CN" w:bidi="ar"/>
              </w:rPr>
              <w:t>进线光缆与用户光缆接续，OTDR光时域反射仪测试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282828"/>
                <w:sz w:val="24"/>
                <w:szCs w:val="24"/>
                <w:u w:val="none"/>
              </w:rPr>
            </w:pPr>
            <w:r>
              <w:rPr>
                <w:rFonts w:hint="eastAsia" w:ascii="楷体" w:hAnsi="楷体" w:eastAsia="楷体" w:cs="楷体"/>
                <w:i w:val="0"/>
                <w:iCs w:val="0"/>
                <w:color w:val="282828"/>
                <w:kern w:val="0"/>
                <w:sz w:val="24"/>
                <w:szCs w:val="24"/>
                <w:u w:val="none"/>
                <w:lang w:val="en-US" w:eastAsia="zh-CN" w:bidi="ar"/>
              </w:rPr>
              <w:t>成端光缆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282828"/>
                <w:sz w:val="24"/>
                <w:szCs w:val="24"/>
                <w:u w:val="none"/>
              </w:rPr>
            </w:pPr>
            <w:r>
              <w:rPr>
                <w:rFonts w:hint="eastAsia" w:ascii="楷体" w:hAnsi="楷体" w:eastAsia="楷体" w:cs="楷体"/>
                <w:i w:val="0"/>
                <w:iCs w:val="0"/>
                <w:color w:val="282828"/>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芯</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282828"/>
                <w:sz w:val="24"/>
                <w:szCs w:val="24"/>
                <w:u w:val="none"/>
              </w:rPr>
            </w:pPr>
            <w:r>
              <w:rPr>
                <w:rFonts w:hint="eastAsia" w:ascii="楷体" w:hAnsi="楷体" w:eastAsia="楷体" w:cs="楷体"/>
                <w:i w:val="0"/>
                <w:iCs w:val="0"/>
                <w:color w:val="282828"/>
                <w:kern w:val="0"/>
                <w:sz w:val="24"/>
                <w:szCs w:val="24"/>
                <w:u w:val="none"/>
                <w:lang w:val="en-US" w:eastAsia="zh-CN" w:bidi="ar"/>
              </w:rPr>
              <w:t>机房光纤分配架内光缆成端、OTDR光时域反射仪测试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282828"/>
                <w:sz w:val="24"/>
                <w:szCs w:val="24"/>
                <w:u w:val="none"/>
              </w:rPr>
            </w:pPr>
            <w:r>
              <w:rPr>
                <w:rFonts w:hint="eastAsia" w:ascii="楷体" w:hAnsi="楷体" w:eastAsia="楷体" w:cs="楷体"/>
                <w:i w:val="0"/>
                <w:iCs w:val="0"/>
                <w:color w:val="282828"/>
                <w:kern w:val="0"/>
                <w:sz w:val="24"/>
                <w:szCs w:val="24"/>
                <w:u w:val="none"/>
                <w:lang w:val="en-US" w:eastAsia="zh-CN" w:bidi="ar"/>
              </w:rPr>
              <w:t>光缆 GYDTA-144B1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282828"/>
                <w:sz w:val="24"/>
                <w:szCs w:val="24"/>
                <w:u w:val="none"/>
              </w:rPr>
            </w:pPr>
            <w:r>
              <w:rPr>
                <w:rFonts w:hint="eastAsia" w:ascii="楷体" w:hAnsi="楷体" w:eastAsia="楷体" w:cs="楷体"/>
                <w:i w:val="0"/>
                <w:iCs w:val="0"/>
                <w:color w:val="282828"/>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米</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144芯／100米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3D3D3D"/>
                <w:sz w:val="24"/>
                <w:szCs w:val="24"/>
                <w:u w:val="none"/>
              </w:rPr>
            </w:pPr>
            <w:r>
              <w:rPr>
                <w:rFonts w:hint="eastAsia" w:ascii="楷体" w:hAnsi="楷体" w:eastAsia="楷体" w:cs="楷体"/>
                <w:i w:val="0"/>
                <w:iCs w:val="0"/>
                <w:color w:val="3D3D3D"/>
                <w:kern w:val="0"/>
                <w:sz w:val="24"/>
                <w:szCs w:val="24"/>
                <w:u w:val="none"/>
                <w:lang w:val="en-US" w:eastAsia="zh-CN" w:bidi="ar"/>
              </w:rPr>
              <w:t>网线、跳线、尾纤等辅材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F0F0F"/>
                <w:sz w:val="24"/>
                <w:szCs w:val="24"/>
                <w:u w:val="none"/>
              </w:rPr>
            </w:pPr>
            <w:r>
              <w:rPr>
                <w:rFonts w:hint="eastAsia" w:ascii="楷体" w:hAnsi="楷体" w:eastAsia="楷体" w:cs="楷体"/>
                <w:i w:val="0"/>
                <w:iCs w:val="0"/>
                <w:color w:val="0F0F0F"/>
                <w:kern w:val="0"/>
                <w:sz w:val="24"/>
                <w:szCs w:val="24"/>
                <w:u w:val="none"/>
                <w:lang w:val="en-US" w:eastAsia="zh-CN" w:bidi="ar"/>
              </w:rPr>
              <w:t>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7"/>
                <w:rFonts w:hint="eastAsia" w:ascii="楷体" w:hAnsi="楷体" w:eastAsia="楷体" w:cs="楷体"/>
                <w:sz w:val="24"/>
                <w:szCs w:val="24"/>
                <w:lang w:val="en-US" w:eastAsia="zh-CN" w:bidi="ar"/>
              </w:rPr>
              <w:t>国产优质</w:t>
            </w:r>
          </w:p>
        </w:tc>
      </w:tr>
    </w:tbl>
    <w:p>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2.供货时间：合同签订后15个日历日。</w:t>
      </w:r>
    </w:p>
    <w:p>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3.供货地点：贵州省贵阳市清镇市观清路5号贵阳幼儿师范高等专科学校</w:t>
      </w:r>
    </w:p>
    <w:p>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4.售后服务：布线工程售后保修期限为项目验收合格之日起三年，其他服务项目售后保修期限为项目验收合格之日起一年，若因产品质量问题引起的损坏或故障，公司将提供免费保修服务。若因非产品质量问题引起的损坏或故障，公司将提供有偿维修服务。</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5.其他要求：报价时应提供法定代表人授权委托书、法定代表人及授权委托人的身份证复印件、有效的营业执照副本（或三证合一统一社会信用代码证书）及资质证明材料。服务期间接采购人通知后须</w:t>
      </w:r>
      <w:r>
        <w:rPr>
          <w:rFonts w:hint="eastAsia" w:ascii="方正仿宋_GB2312" w:hAnsi="方正仿宋_GB2312" w:eastAsia="方正仿宋_GB2312" w:cs="方正仿宋_GB2312"/>
          <w:sz w:val="32"/>
          <w:szCs w:val="32"/>
          <w:lang w:eastAsia="zh-CN"/>
        </w:rPr>
        <w:t>提供实施期间</w:t>
      </w:r>
      <w:r>
        <w:rPr>
          <w:rFonts w:hint="eastAsia" w:ascii="方正仿宋_GB2312" w:hAnsi="方正仿宋_GB2312" w:eastAsia="方正仿宋_GB2312" w:cs="方正仿宋_GB2312"/>
          <w:sz w:val="32"/>
          <w:szCs w:val="32"/>
          <w:lang w:val="en-US" w:eastAsia="zh-CN"/>
        </w:rPr>
        <w:t>9:00-17：00</w:t>
      </w:r>
      <w:r>
        <w:rPr>
          <w:rFonts w:hint="eastAsia" w:ascii="方正仿宋_GB2312" w:hAnsi="方正仿宋_GB2312" w:eastAsia="方正仿宋_GB2312" w:cs="方正仿宋_GB2312"/>
          <w:sz w:val="32"/>
          <w:szCs w:val="32"/>
        </w:rPr>
        <w:t>现场服务。报价时须按照报价文件规范报价。</w:t>
      </w:r>
    </w:p>
    <w:p>
      <w:pPr>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项目实施结束提供设备（光路、电路）资料提供书面和电子两种格式文档网络拓扑等资料。</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三、报价方式及供货方资格要求</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（一）报价方式</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1.报价方式：密封报价，</w:t>
      </w:r>
      <w:r>
        <w:rPr>
          <w:rFonts w:hint="eastAsia" w:ascii="方正仿宋_GB2312" w:hAnsi="方正仿宋_GB2312" w:eastAsia="方正仿宋_GB2312" w:cs="方正仿宋_GB2312"/>
          <w:sz w:val="32"/>
          <w:szCs w:val="32"/>
          <w:lang w:eastAsia="zh-CN"/>
        </w:rPr>
        <w:t>自行探勘现场（联系人：金老师，联系电话：</w:t>
      </w:r>
      <w:r>
        <w:rPr>
          <w:rFonts w:hint="eastAsia" w:ascii="方正仿宋_GB2312" w:hAnsi="方正仿宋_GB2312" w:eastAsia="方正仿宋_GB2312" w:cs="方正仿宋_GB2312"/>
          <w:sz w:val="32"/>
          <w:szCs w:val="32"/>
          <w:lang w:val="en-US" w:eastAsia="zh-CN"/>
        </w:rPr>
        <w:t>18984826077，联系时间2024年7月29日至2024年8月3日，9:00-17:00</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参加报价单位将所有资料密封并加盖公章后</w:t>
      </w:r>
      <w:r>
        <w:rPr>
          <w:rFonts w:hint="eastAsia" w:ascii="方正仿宋_GB2312" w:hAnsi="方正仿宋_GB2312" w:eastAsia="方正仿宋_GB2312" w:cs="方正仿宋_GB2312"/>
          <w:sz w:val="32"/>
          <w:szCs w:val="32"/>
          <w:lang w:eastAsia="zh-CN"/>
        </w:rPr>
        <w:t>于</w:t>
      </w:r>
      <w:r>
        <w:rPr>
          <w:rFonts w:hint="eastAsia" w:ascii="方正仿宋_GB2312" w:hAnsi="方正仿宋_GB2312" w:eastAsia="方正仿宋_GB2312" w:cs="方正仿宋_GB2312"/>
          <w:sz w:val="32"/>
          <w:szCs w:val="32"/>
        </w:rPr>
        <w:t>2024年</w:t>
      </w:r>
      <w:r>
        <w:rPr>
          <w:rFonts w:hint="default" w:ascii="方正仿宋_GB2312" w:hAnsi="方正仿宋_GB2312" w:eastAsia="方正仿宋_GB2312" w:cs="方正仿宋_GB2312"/>
          <w:sz w:val="32"/>
          <w:szCs w:val="32"/>
          <w:lang w:val="en-US"/>
        </w:rPr>
        <w:t>8</w:t>
      </w:r>
      <w:r>
        <w:rPr>
          <w:rFonts w:hint="eastAsia" w:ascii="方正仿宋_GB2312" w:hAnsi="方正仿宋_GB2312" w:eastAsia="方正仿宋_GB2312" w:cs="方正仿宋_GB2312"/>
          <w:sz w:val="32"/>
          <w:szCs w:val="32"/>
        </w:rPr>
        <w:t>月</w:t>
      </w:r>
      <w:r>
        <w:rPr>
          <w:rFonts w:hint="default"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日</w:t>
      </w:r>
      <w:r>
        <w:rPr>
          <w:rFonts w:hint="default" w:ascii="方正仿宋_GB2312" w:hAnsi="方正仿宋_GB2312" w:eastAsia="方正仿宋_GB2312" w:cs="方正仿宋_GB2312"/>
          <w:sz w:val="32"/>
          <w:szCs w:val="32"/>
          <w:lang w:val="en-US"/>
        </w:rPr>
        <w:t>10</w:t>
      </w:r>
      <w:r>
        <w:rPr>
          <w:rFonts w:hint="eastAsia" w:ascii="方正仿宋_GB2312" w:hAnsi="方正仿宋_GB2312" w:eastAsia="方正仿宋_GB2312" w:cs="方正仿宋_GB2312"/>
          <w:sz w:val="32"/>
          <w:szCs w:val="32"/>
          <w:lang w:val="en-US" w:eastAsia="zh-CN"/>
        </w:rPr>
        <w:t>:00</w:t>
      </w:r>
      <w:r>
        <w:rPr>
          <w:rFonts w:hint="eastAsia" w:ascii="方正仿宋_GB2312" w:hAnsi="方正仿宋_GB2312" w:eastAsia="方正仿宋_GB2312" w:cs="方正仿宋_GB2312"/>
          <w:sz w:val="32"/>
          <w:szCs w:val="32"/>
        </w:rPr>
        <w:t>点报送至贵阳幼儿师范高等专科学校</w:t>
      </w:r>
      <w:r>
        <w:rPr>
          <w:rFonts w:hint="eastAsia" w:ascii="方正仿宋_GB2312" w:hAnsi="方正仿宋_GB2312" w:eastAsia="方正仿宋_GB2312" w:cs="方正仿宋_GB2312"/>
          <w:sz w:val="32"/>
          <w:szCs w:val="32"/>
          <w:lang w:eastAsia="zh-CN"/>
        </w:rPr>
        <w:t>峻德楼</w:t>
      </w:r>
      <w:r>
        <w:rPr>
          <w:rFonts w:hint="eastAsia" w:ascii="方正仿宋_GB2312" w:hAnsi="方正仿宋_GB2312" w:eastAsia="方正仿宋_GB2312" w:cs="方正仿宋_GB2312"/>
          <w:sz w:val="32"/>
          <w:szCs w:val="32"/>
          <w:lang w:val="en-US" w:eastAsia="zh-CN"/>
        </w:rPr>
        <w:t>210会议室</w:t>
      </w:r>
      <w:r>
        <w:rPr>
          <w:rFonts w:hint="eastAsia" w:ascii="方正仿宋_GB2312" w:hAnsi="方正仿宋_GB2312" w:eastAsia="方正仿宋_GB2312" w:cs="方正仿宋_GB2312"/>
          <w:sz w:val="32"/>
          <w:szCs w:val="32"/>
        </w:rPr>
        <w:t>。报价必须在项目预算内报价，超过项目预算的报价视为无效报价，不能参与评标。</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评标办法：综合评分法,是指投标文件满足招标文件全部实质性要求且按照评审因素的量化指标评审得分最高的供应商为中标候选人的评标方法。采用综合评分法的,评审标准中的分值设置应当与评审因素的量化指标相对应</w:t>
      </w:r>
      <w:bookmarkStart w:id="0" w:name="_GoBack"/>
      <w:bookmarkEnd w:id="0"/>
      <w:r>
        <w:rPr>
          <w:rFonts w:hint="eastAsia" w:ascii="方正仿宋_GB2312" w:hAnsi="方正仿宋_GB2312" w:eastAsia="方正仿宋_GB2312" w:cs="方正仿宋_GB2312"/>
          <w:sz w:val="32"/>
          <w:szCs w:val="32"/>
        </w:rPr>
        <w:t>，方案中没有规定的评标标准不得作为评审的依据。</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评分表如下：</w:t>
      </w:r>
    </w:p>
    <w:tbl>
      <w:tblPr>
        <w:tblStyle w:val="3"/>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696"/>
        <w:gridCol w:w="7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49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b/>
                <w:bCs/>
                <w:kern w:val="2"/>
                <w:sz w:val="28"/>
                <w:szCs w:val="28"/>
                <w:vertAlign w:val="baseline"/>
                <w:lang w:val="en-US" w:eastAsia="zh-CN" w:bidi="ar-SA"/>
              </w:rPr>
            </w:pPr>
            <w:r>
              <w:rPr>
                <w:rFonts w:hint="eastAsia" w:ascii="楷体" w:hAnsi="楷体" w:eastAsia="楷体" w:cs="楷体"/>
                <w:b/>
                <w:bCs/>
                <w:sz w:val="28"/>
                <w:szCs w:val="28"/>
                <w:vertAlign w:val="baseline"/>
                <w:lang w:val="en-US" w:eastAsia="zh-CN"/>
              </w:rPr>
              <w:t>序号</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b/>
                <w:bCs/>
                <w:kern w:val="2"/>
                <w:sz w:val="28"/>
                <w:szCs w:val="28"/>
                <w:vertAlign w:val="baseline"/>
                <w:lang w:val="en-US" w:eastAsia="zh-CN" w:bidi="ar-SA"/>
              </w:rPr>
            </w:pPr>
            <w:r>
              <w:rPr>
                <w:rFonts w:hint="eastAsia" w:ascii="楷体" w:hAnsi="楷体" w:eastAsia="楷体" w:cs="楷体"/>
                <w:b/>
                <w:bCs/>
                <w:sz w:val="28"/>
                <w:szCs w:val="28"/>
                <w:vertAlign w:val="baseline"/>
                <w:lang w:val="en-US" w:eastAsia="zh-CN"/>
              </w:rPr>
              <w:t>评审内容</w:t>
            </w:r>
          </w:p>
        </w:tc>
        <w:tc>
          <w:tcPr>
            <w:tcW w:w="716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b/>
                <w:bCs/>
                <w:kern w:val="2"/>
                <w:sz w:val="28"/>
                <w:szCs w:val="28"/>
                <w:vertAlign w:val="baseline"/>
                <w:lang w:val="en-US" w:eastAsia="zh-CN" w:bidi="ar-SA"/>
              </w:rPr>
            </w:pPr>
            <w:r>
              <w:rPr>
                <w:rFonts w:hint="eastAsia" w:ascii="楷体" w:hAnsi="楷体" w:eastAsia="楷体" w:cs="楷体"/>
                <w:b/>
                <w:bCs/>
                <w:sz w:val="28"/>
                <w:szCs w:val="28"/>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49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报价分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rPr>
            </w:pPr>
            <w:r>
              <w:rPr>
                <w:rFonts w:hint="eastAsia" w:ascii="楷体" w:hAnsi="楷体" w:eastAsia="楷体" w:cs="楷体"/>
                <w:sz w:val="24"/>
                <w:szCs w:val="24"/>
                <w:vertAlign w:val="baseline"/>
                <w:lang w:val="en-US" w:eastAsia="zh-CN"/>
              </w:rPr>
              <w:t>（30分）</w:t>
            </w:r>
          </w:p>
        </w:tc>
        <w:tc>
          <w:tcPr>
            <w:tcW w:w="71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sz w:val="24"/>
                <w:szCs w:val="24"/>
                <w:vertAlign w:val="baseline"/>
              </w:rPr>
            </w:pPr>
            <w:r>
              <w:rPr>
                <w:rFonts w:hint="eastAsia" w:ascii="楷体" w:hAnsi="楷体" w:eastAsia="楷体" w:cs="楷体"/>
                <w:sz w:val="24"/>
                <w:szCs w:val="24"/>
              </w:rPr>
              <w:t>计算方法为：报价得分＝（基准价／</w:t>
            </w:r>
            <w:r>
              <w:rPr>
                <w:rFonts w:hint="eastAsia" w:ascii="楷体" w:hAnsi="楷体" w:eastAsia="楷体" w:cs="楷体"/>
                <w:sz w:val="24"/>
                <w:szCs w:val="24"/>
                <w:lang w:eastAsia="zh-CN"/>
              </w:rPr>
              <w:t>投标方</w:t>
            </w:r>
            <w:r>
              <w:rPr>
                <w:rFonts w:hint="eastAsia" w:ascii="楷体" w:hAnsi="楷体" w:eastAsia="楷体" w:cs="楷体"/>
                <w:sz w:val="24"/>
                <w:szCs w:val="24"/>
              </w:rPr>
              <w:t>报价）×</w:t>
            </w:r>
            <w:r>
              <w:rPr>
                <w:rFonts w:hint="eastAsia" w:ascii="楷体" w:hAnsi="楷体" w:eastAsia="楷体" w:cs="楷体"/>
                <w:sz w:val="24"/>
                <w:szCs w:val="24"/>
                <w:lang w:val="en-US" w:eastAsia="zh-CN"/>
              </w:rPr>
              <w:t>价格权值</w:t>
            </w:r>
            <w:r>
              <w:rPr>
                <w:rFonts w:hint="eastAsia" w:ascii="楷体" w:hAnsi="楷体" w:eastAsia="楷体" w:cs="楷体"/>
                <w:sz w:val="24"/>
                <w:szCs w:val="24"/>
              </w:rPr>
              <w:t>×100，基准价：即满足</w:t>
            </w:r>
            <w:r>
              <w:rPr>
                <w:rFonts w:hint="eastAsia" w:ascii="楷体" w:hAnsi="楷体" w:eastAsia="楷体" w:cs="楷体"/>
                <w:sz w:val="24"/>
                <w:szCs w:val="24"/>
                <w:lang w:eastAsia="zh-CN"/>
              </w:rPr>
              <w:t>比选</w:t>
            </w:r>
            <w:r>
              <w:rPr>
                <w:rFonts w:hint="eastAsia" w:ascii="楷体" w:hAnsi="楷体" w:eastAsia="楷体" w:cs="楷体"/>
                <w:sz w:val="24"/>
                <w:szCs w:val="24"/>
              </w:rPr>
              <w:t>文件要求且最后报价最</w:t>
            </w:r>
            <w:r>
              <w:rPr>
                <w:rFonts w:hint="eastAsia" w:ascii="楷体" w:hAnsi="楷体" w:eastAsia="楷体" w:cs="楷体"/>
                <w:sz w:val="24"/>
                <w:szCs w:val="24"/>
                <w:lang w:eastAsia="zh-CN"/>
              </w:rPr>
              <w:t>低</w:t>
            </w:r>
            <w:r>
              <w:rPr>
                <w:rFonts w:hint="eastAsia" w:ascii="楷体" w:hAnsi="楷体" w:eastAsia="楷体" w:cs="楷体"/>
                <w:sz w:val="24"/>
                <w:szCs w:val="24"/>
              </w:rPr>
              <w:t>的</w:t>
            </w:r>
            <w:r>
              <w:rPr>
                <w:rFonts w:hint="eastAsia" w:ascii="楷体" w:hAnsi="楷体" w:eastAsia="楷体" w:cs="楷体"/>
                <w:sz w:val="24"/>
                <w:szCs w:val="24"/>
                <w:lang w:eastAsia="zh-CN"/>
              </w:rPr>
              <w:t>投标方</w:t>
            </w:r>
            <w:r>
              <w:rPr>
                <w:rFonts w:hint="eastAsia" w:ascii="楷体" w:hAnsi="楷体" w:eastAsia="楷体" w:cs="楷体"/>
                <w:sz w:val="24"/>
                <w:szCs w:val="24"/>
              </w:rPr>
              <w:t>的价格。（投标报价</w:t>
            </w:r>
            <w:r>
              <w:rPr>
                <w:rFonts w:hint="eastAsia" w:ascii="楷体" w:hAnsi="楷体" w:eastAsia="楷体" w:cs="楷体"/>
                <w:sz w:val="24"/>
                <w:szCs w:val="24"/>
                <w:lang w:eastAsia="zh-CN"/>
              </w:rPr>
              <w:t>高于</w:t>
            </w:r>
            <w:r>
              <w:rPr>
                <w:rFonts w:hint="eastAsia" w:ascii="楷体" w:hAnsi="楷体" w:eastAsia="楷体" w:cs="楷体"/>
                <w:sz w:val="24"/>
                <w:szCs w:val="24"/>
              </w:rPr>
              <w:t>采购人预算价的，报价分为</w:t>
            </w:r>
            <w:r>
              <w:rPr>
                <w:rFonts w:hint="eastAsia" w:ascii="楷体" w:hAnsi="楷体" w:eastAsia="楷体" w:cs="楷体"/>
                <w:sz w:val="24"/>
                <w:szCs w:val="24"/>
                <w:lang w:val="en-US" w:eastAsia="zh-CN"/>
              </w:rPr>
              <w:t>30</w:t>
            </w:r>
            <w:r>
              <w:rPr>
                <w:rFonts w:hint="eastAsia" w:ascii="楷体" w:hAnsi="楷体" w:eastAsia="楷体" w:cs="楷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9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w:t>
            </w:r>
          </w:p>
        </w:tc>
        <w:tc>
          <w:tcPr>
            <w:tcW w:w="69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highlight w:val="none"/>
                <w:vertAlign w:val="baseline"/>
                <w:lang w:val="en-US" w:eastAsia="zh-CN"/>
              </w:rPr>
            </w:pPr>
            <w:r>
              <w:rPr>
                <w:rFonts w:hint="eastAsia" w:ascii="楷体" w:hAnsi="楷体" w:eastAsia="楷体" w:cs="楷体"/>
                <w:sz w:val="24"/>
                <w:szCs w:val="24"/>
                <w:vertAlign w:val="baseline"/>
                <w:lang w:val="en-US" w:eastAsia="zh-CN"/>
              </w:rPr>
              <w:t>技术或服务水</w:t>
            </w:r>
            <w:r>
              <w:rPr>
                <w:rFonts w:hint="eastAsia" w:ascii="楷体" w:hAnsi="楷体" w:eastAsia="楷体" w:cs="楷体"/>
                <w:sz w:val="24"/>
                <w:szCs w:val="24"/>
                <w:highlight w:val="none"/>
                <w:vertAlign w:val="baseline"/>
                <w:lang w:val="en-US" w:eastAsia="zh-CN"/>
              </w:rPr>
              <w:t>平</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highlight w:val="none"/>
                <w:vertAlign w:val="baseline"/>
                <w:lang w:val="en-US" w:eastAsia="zh-CN"/>
              </w:rPr>
              <w:t>（48分）</w:t>
            </w:r>
          </w:p>
        </w:tc>
        <w:tc>
          <w:tcPr>
            <w:tcW w:w="716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投标文件对招标文件“规格、参数与要求”的响应程度。完全响应的得32分。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对照招标文件“采购设备清单与技术指标要求”，对于出现负偏离的，每处负偏离扣2分。扣完为止。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p>
        </w:tc>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p>
        </w:tc>
        <w:tc>
          <w:tcPr>
            <w:tcW w:w="716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针对新机房内的网络环境建设，提供内容详细、科学合理、针对性强的网络环境建设方案。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好的，得：4-5分；中等的，得2-3分；一般的，得0-1分。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p>
        </w:tc>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p>
        </w:tc>
        <w:tc>
          <w:tcPr>
            <w:tcW w:w="716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深刻理解需求，能详细描述需求，充分理解本项目中不可中断业务情况，对于不可中断业务迁移提供有针对性的技术方案和实施方案，同时提供详细集成方案和搬迁方案，方案内容切合实际，视方案针对性与可行性给予评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好的，得4-5分；中等的，得2-3分；一般的，得0-1分。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p>
        </w:tc>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p>
        </w:tc>
        <w:tc>
          <w:tcPr>
            <w:tcW w:w="716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项目团队人员配置结构完整、合理，实施经验丰富，能够满足搬迁工作中所有技能要求，提供核心系统硬件原厂认证工程师，（华为、华三、深信服、天融信、安恒、宏杉、宝德）每人得1分，最高不超过4分。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p>
        </w:tc>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p>
        </w:tc>
        <w:tc>
          <w:tcPr>
            <w:tcW w:w="716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项目经理满足招标文件要求，具备高级项目经理认证的，得2分；中级项目经理认证的，得1分；不具备的不得分。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49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w:t>
            </w:r>
          </w:p>
        </w:tc>
        <w:tc>
          <w:tcPr>
            <w:tcW w:w="69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履约能力</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（10分）</w:t>
            </w:r>
          </w:p>
        </w:tc>
        <w:tc>
          <w:tcPr>
            <w:tcW w:w="716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具有信息系统集成及服务一级资质证书的，得5分；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具有信息系统集成及服务二级资质证书的，得4分；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具有信息系统集成及服务三级资质证书的，得3分；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具有信息系统集成及服务四级资质证书的，得2分；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不具备的不得分。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4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p>
        </w:tc>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p>
        </w:tc>
        <w:tc>
          <w:tcPr>
            <w:tcW w:w="716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投标人提供2019年1月1日至今的相似规模的同类项目业绩。每提供1个得1分，最多5分。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（需提供合同首尾页、盖章页和金额页的复印件并加盖投标人公章）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49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69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售后服务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（12分）</w:t>
            </w:r>
          </w:p>
        </w:tc>
        <w:tc>
          <w:tcPr>
            <w:tcW w:w="716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技术服务及售后服务方案详实、可行、全面。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好得，得4-5分；中等的，得2-3分；一般的，得0-1分。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p>
        </w:tc>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p>
        </w:tc>
        <w:tc>
          <w:tcPr>
            <w:tcW w:w="716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投标方提供详细的培训方案，针对本项目的每个单项制定相符合的培训课程。得2分。不提供不得分。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4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p>
        </w:tc>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p>
        </w:tc>
        <w:tc>
          <w:tcPr>
            <w:tcW w:w="716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提供本地化服务，支持7*24小时技术服务，得5分；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提供本地化服务，支持工作日技术服务，得3分；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支持7*24小时技术服务，得1分。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不具备的不得分。</w:t>
            </w:r>
          </w:p>
        </w:tc>
      </w:tr>
    </w:tbl>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（二）供货方资格要求</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1.供货方可为社会法人企业或个人。无违法犯罪及不良信用记录。</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2.财务要求：‌提供近三年的财务审计报告或资信证明。‌</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3.信誉要求：‌确保未处于被责令停业、‌投标资格被取消或财产被接管、‌冻结和破产状态，‌且没有因骗取中标或严重违约等问题被暂停投标资格。‌</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4.项目经理资格：‌拟派本项目的项目经理应是供货方在职人员。</w:t>
      </w: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报价文件见附件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72D05CD0-A23D-4FC3-A0AB-3EA7ACAA9577}"/>
  </w:font>
  <w:font w:name="方正仿宋_GB2312">
    <w:panose1 w:val="02000000000000000000"/>
    <w:charset w:val="86"/>
    <w:family w:val="auto"/>
    <w:pitch w:val="default"/>
    <w:sig w:usb0="A00002BF" w:usb1="184F6CFA" w:usb2="00000012" w:usb3="00000000" w:csb0="00040001" w:csb1="00000000"/>
    <w:embedRegular r:id="rId2" w:fontKey="{15E9E558-6D16-4217-B93A-6C8FD9169E3A}"/>
  </w:font>
  <w:font w:name="楷体">
    <w:panose1 w:val="02010609060101010101"/>
    <w:charset w:val="86"/>
    <w:family w:val="auto"/>
    <w:pitch w:val="default"/>
    <w:sig w:usb0="800002BF" w:usb1="38CF7CFA" w:usb2="00000016" w:usb3="00000000" w:csb0="00040001" w:csb1="00000000"/>
    <w:embedRegular r:id="rId3" w:fontKey="{51B8D96A-E5CB-4863-A83C-D3B7452756A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ZmY3MjAyOTMzZDA1NTM2ZTMxNjIwMTAxMmY4NDgifQ=="/>
    <w:docVar w:name="KSO_WPS_MARK_KEY" w:val="e4294df7-223e-41b7-8f3c-033be134fc01"/>
  </w:docVars>
  <w:rsids>
    <w:rsidRoot w:val="11ED4A33"/>
    <w:rsid w:val="11ED4A33"/>
    <w:rsid w:val="359E54F7"/>
    <w:rsid w:val="5BC41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41"/>
    <w:basedOn w:val="4"/>
    <w:qFormat/>
    <w:uiPriority w:val="0"/>
    <w:rPr>
      <w:rFonts w:hint="eastAsia" w:ascii="宋体" w:hAnsi="宋体" w:eastAsia="宋体" w:cs="宋体"/>
      <w:b/>
      <w:bCs/>
      <w:color w:val="0F0F0F"/>
      <w:sz w:val="24"/>
      <w:szCs w:val="24"/>
      <w:u w:val="none"/>
    </w:rPr>
  </w:style>
  <w:style w:type="character" w:customStyle="1" w:styleId="6">
    <w:name w:val="font81"/>
    <w:basedOn w:val="4"/>
    <w:qFormat/>
    <w:uiPriority w:val="0"/>
    <w:rPr>
      <w:rFonts w:hint="eastAsia" w:ascii="宋体" w:hAnsi="宋体" w:eastAsia="宋体" w:cs="宋体"/>
      <w:b/>
      <w:bCs/>
      <w:color w:val="282828"/>
      <w:sz w:val="24"/>
      <w:szCs w:val="24"/>
      <w:u w:val="none"/>
    </w:rPr>
  </w:style>
  <w:style w:type="character" w:customStyle="1" w:styleId="7">
    <w:name w:val="font51"/>
    <w:basedOn w:val="4"/>
    <w:qFormat/>
    <w:uiPriority w:val="0"/>
    <w:rPr>
      <w:rFonts w:hint="eastAsia" w:ascii="宋体" w:hAnsi="宋体" w:eastAsia="宋体" w:cs="宋体"/>
      <w:color w:val="282828"/>
      <w:sz w:val="24"/>
      <w:szCs w:val="24"/>
      <w:u w:val="none"/>
    </w:rPr>
  </w:style>
  <w:style w:type="character" w:customStyle="1" w:styleId="8">
    <w:name w:val="font71"/>
    <w:basedOn w:val="4"/>
    <w:qFormat/>
    <w:uiPriority w:val="0"/>
    <w:rPr>
      <w:rFonts w:hint="eastAsia" w:ascii="宋体" w:hAnsi="宋体" w:eastAsia="宋体" w:cs="宋体"/>
      <w:color w:val="0F0F0F"/>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2712</Words>
  <Characters>2927</Characters>
  <Lines>0</Lines>
  <Paragraphs>0</Paragraphs>
  <TotalTime>12</TotalTime>
  <ScaleCrop>false</ScaleCrop>
  <LinksUpToDate>false</LinksUpToDate>
  <CharactersWithSpaces>2928</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2024-07-23T02:24:00Z</dcterms:created>
  <dc:creator>匈奴后裔</dc:creator>
  <cp:lastModifiedBy>匈奴后裔</cp:lastModifiedBy>
  <dcterms:modified xsi:type="dcterms:W3CDTF">2024-07-23T07:04:25Z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9C081339585B461995D67C656439F6FB_13</vt:lpwstr>
  </property>
</Properties>
</file>